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8"/>
        <w:gridCol w:w="537"/>
        <w:gridCol w:w="537"/>
      </w:tblGrid>
      <w:tr w:rsidR="00FE5EA5" w:rsidRPr="00DF507B">
        <w:trPr>
          <w:trHeight w:val="442"/>
        </w:trPr>
        <w:tc>
          <w:tcPr>
            <w:tcW w:w="5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FE5EA5" w:rsidRPr="00DF507B" w:rsidRDefault="004C34D6" w:rsidP="005B1694">
            <w:pPr>
              <w:pBdr>
                <w:top w:val="single" w:sz="6" w:space="1" w:color="auto"/>
              </w:pBdr>
              <w:rPr>
                <w:i/>
                <w:iCs/>
                <w:color w:val="FFFFFF"/>
                <w:sz w:val="40"/>
                <w:szCs w:val="40"/>
              </w:rPr>
            </w:pPr>
            <w:r>
              <w:rPr>
                <w:i/>
                <w:iCs/>
                <w:color w:val="FFFFFF"/>
                <w:sz w:val="40"/>
                <w:szCs w:val="40"/>
              </w:rPr>
              <w:t>Year 6/7</w:t>
            </w:r>
            <w:r w:rsidR="00FE5EA5" w:rsidRPr="00DF507B">
              <w:rPr>
                <w:i/>
                <w:iCs/>
                <w:color w:val="FFFFFF"/>
                <w:sz w:val="40"/>
                <w:szCs w:val="40"/>
              </w:rPr>
              <w:t xml:space="preserve"> Mathematics</w:t>
            </w:r>
          </w:p>
          <w:p w:rsidR="00FE5EA5" w:rsidRPr="00DF507B" w:rsidRDefault="00FE5EA5" w:rsidP="005B1694">
            <w:pPr>
              <w:pBdr>
                <w:top w:val="single" w:sz="6" w:space="1" w:color="auto"/>
              </w:pBdr>
              <w:rPr>
                <w:color w:val="FFFFFF"/>
                <w:sz w:val="52"/>
                <w:szCs w:val="52"/>
              </w:rPr>
            </w:pPr>
            <w:r w:rsidRPr="00DF507B">
              <w:rPr>
                <w:color w:val="FFFFFF"/>
                <w:sz w:val="52"/>
                <w:szCs w:val="52"/>
              </w:rPr>
              <w:t xml:space="preserve">Essential </w:t>
            </w:r>
            <w:proofErr w:type="spellStart"/>
            <w:r w:rsidRPr="00DF507B">
              <w:rPr>
                <w:color w:val="FFFFFF"/>
                <w:sz w:val="52"/>
                <w:szCs w:val="52"/>
              </w:rPr>
              <w:t>Learnings</w:t>
            </w:r>
            <w:proofErr w:type="spellEnd"/>
          </w:p>
          <w:p w:rsidR="00FE5EA5" w:rsidRPr="00DF507B" w:rsidRDefault="00FE5EA5" w:rsidP="005B1694">
            <w:pPr>
              <w:rPr>
                <w:color w:val="auto"/>
                <w:sz w:val="22"/>
                <w:szCs w:val="22"/>
              </w:rPr>
            </w:pPr>
            <w:r w:rsidRPr="00DF507B">
              <w:rPr>
                <w:color w:val="FFFFFF"/>
                <w:sz w:val="28"/>
                <w:szCs w:val="28"/>
              </w:rPr>
              <w:t>Knowledge and Understanding</w:t>
            </w:r>
          </w:p>
        </w:tc>
        <w:tc>
          <w:tcPr>
            <w:tcW w:w="48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thinDiagCross" w:color="D9D9D9" w:fill="D9D9D9"/>
          </w:tcPr>
          <w:p w:rsidR="00FE5EA5" w:rsidRPr="00DF507B" w:rsidRDefault="00FE5EA5" w:rsidP="005B1694">
            <w:pPr>
              <w:jc w:val="center"/>
              <w:rPr>
                <w:b/>
                <w:sz w:val="28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1 (2009-2010)</w:t>
            </w:r>
          </w:p>
        </w:tc>
        <w:tc>
          <w:tcPr>
            <w:tcW w:w="4835" w:type="dxa"/>
            <w:gridSpan w:val="9"/>
            <w:tcBorders>
              <w:left w:val="single" w:sz="4" w:space="0" w:color="auto"/>
            </w:tcBorders>
            <w:shd w:val="thinDiagCross" w:color="D9D9D9" w:fill="D9D9D9"/>
          </w:tcPr>
          <w:p w:rsidR="00FE5EA5" w:rsidRPr="00DF507B" w:rsidRDefault="00FE5EA5" w:rsidP="005B1694">
            <w:pPr>
              <w:jc w:val="center"/>
              <w:rPr>
                <w:b/>
                <w:sz w:val="28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2 (2010-2011)</w:t>
            </w:r>
          </w:p>
        </w:tc>
      </w:tr>
      <w:tr w:rsidR="00FE5EA5" w:rsidRPr="00DF507B">
        <w:tc>
          <w:tcPr>
            <w:tcW w:w="50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FE5EA5" w:rsidRPr="00DF507B" w:rsidRDefault="00FE5EA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thinHorzCross" w:color="D9D9D9" w:fill="auto"/>
          </w:tcPr>
          <w:p w:rsidR="00FE5EA5" w:rsidRPr="00DF507B" w:rsidRDefault="00FE5EA5" w:rsidP="005B1694">
            <w:pPr>
              <w:jc w:val="center"/>
              <w:rPr>
                <w:b/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D9D9D9" w:fill="auto"/>
          </w:tcPr>
          <w:p w:rsidR="00FE5EA5" w:rsidRPr="00DF507B" w:rsidRDefault="00FE5EA5" w:rsidP="005B1694">
            <w:pPr>
              <w:jc w:val="center"/>
              <w:rPr>
                <w:b/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3223" w:type="dxa"/>
            <w:gridSpan w:val="6"/>
            <w:tcBorders>
              <w:left w:val="single" w:sz="4" w:space="0" w:color="auto"/>
            </w:tcBorders>
            <w:shd w:val="thinHorzCross" w:color="D9D9D9" w:fill="auto"/>
          </w:tcPr>
          <w:p w:rsidR="00FE5EA5" w:rsidRPr="00DF507B" w:rsidRDefault="00FE5EA5" w:rsidP="005B1694">
            <w:pPr>
              <w:jc w:val="center"/>
              <w:rPr>
                <w:b/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2" w:type="dxa"/>
            <w:gridSpan w:val="3"/>
            <w:shd w:val="thinHorzCross" w:color="D9D9D9" w:fill="auto"/>
          </w:tcPr>
          <w:p w:rsidR="00FE5EA5" w:rsidRPr="00DF507B" w:rsidRDefault="00FE5EA5" w:rsidP="005B1694">
            <w:pPr>
              <w:jc w:val="center"/>
              <w:rPr>
                <w:b/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</w:tr>
      <w:tr w:rsidR="00FE5EA5" w:rsidRPr="00DF507B">
        <w:tc>
          <w:tcPr>
            <w:tcW w:w="5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E5EA5" w:rsidRPr="00DF507B" w:rsidRDefault="00FE5EA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E5EA5" w:rsidRPr="00DF507B" w:rsidRDefault="00FE5EA5" w:rsidP="005B1694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2" w:type="dxa"/>
            <w:gridSpan w:val="3"/>
            <w:shd w:val="pct20" w:color="auto" w:fill="auto"/>
          </w:tcPr>
          <w:p w:rsidR="00FE5EA5" w:rsidRPr="00DF507B" w:rsidRDefault="00FE5EA5" w:rsidP="005B1694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2" w:type="dxa"/>
            <w:gridSpan w:val="3"/>
            <w:shd w:val="pct10" w:color="auto" w:fill="auto"/>
          </w:tcPr>
          <w:p w:rsidR="00FE5EA5" w:rsidRPr="00DF507B" w:rsidRDefault="00FE5EA5" w:rsidP="005B1694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</w:tr>
      <w:tr w:rsidR="00FE5EA5" w:rsidRPr="00DF507B">
        <w:trPr>
          <w:cantSplit/>
          <w:trHeight w:val="1430"/>
        </w:trPr>
        <w:tc>
          <w:tcPr>
            <w:tcW w:w="5038" w:type="dxa"/>
            <w:tcBorders>
              <w:top w:val="single" w:sz="6" w:space="0" w:color="auto"/>
              <w:bottom w:val="single" w:sz="4" w:space="0" w:color="auto"/>
            </w:tcBorders>
            <w:shd w:val="clear" w:color="D9D9D9" w:fill="F2F2F2" w:themeFill="background1" w:themeFillShade="F2"/>
          </w:tcPr>
          <w:p w:rsidR="00FE5EA5" w:rsidRPr="00DF507B" w:rsidRDefault="00FE5EA5" w:rsidP="005B1694">
            <w:pPr>
              <w:pStyle w:val="Heading41"/>
              <w:spacing w:before="160"/>
              <w:rPr>
                <w:rFonts w:ascii="Calibri" w:hAnsi="Calibri"/>
                <w:bCs/>
                <w:i w:val="0"/>
                <w:iCs/>
                <w:color w:val="auto"/>
                <w:sz w:val="44"/>
                <w:szCs w:val="28"/>
                <w:lang w:val="en-GB"/>
              </w:rPr>
            </w:pPr>
            <w:r w:rsidRPr="00DF507B">
              <w:rPr>
                <w:rFonts w:ascii="Calibri" w:hAnsi="Calibri"/>
                <w:bCs/>
                <w:i w:val="0"/>
                <w:iCs/>
                <w:color w:val="auto"/>
                <w:sz w:val="44"/>
                <w:szCs w:val="28"/>
                <w:lang w:val="en-GB"/>
              </w:rPr>
              <w:t>Number</w:t>
            </w:r>
          </w:p>
          <w:p w:rsidR="007209C2" w:rsidRPr="003D5F7A" w:rsidRDefault="007209C2" w:rsidP="007209C2">
            <w:pPr>
              <w:rPr>
                <w:i/>
                <w:lang w:val="en-GB"/>
              </w:rPr>
            </w:pPr>
            <w:r w:rsidRPr="003D5F7A">
              <w:rPr>
                <w:i/>
                <w:lang w:val="en-GB"/>
              </w:rPr>
              <w:t>Numbers, key percentages, common and decimal fractions and a range of strategies are used to generate and solve problems.</w:t>
            </w:r>
          </w:p>
          <w:p w:rsidR="00FE5EA5" w:rsidRPr="00DF507B" w:rsidRDefault="00FE5EA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pct2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pct1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  <w:textDirection w:val="btLr"/>
          </w:tcPr>
          <w:p w:rsidR="00FE5EA5" w:rsidRPr="00DF507B" w:rsidRDefault="00FE5EA5" w:rsidP="005B169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Space</w:t>
            </w:r>
          </w:p>
        </w:tc>
      </w:tr>
      <w:tr w:rsidR="00FE5EA5" w:rsidRPr="00DF507B">
        <w:tc>
          <w:tcPr>
            <w:tcW w:w="5038" w:type="dxa"/>
            <w:shd w:val="clear" w:color="auto" w:fill="auto"/>
          </w:tcPr>
          <w:p w:rsidR="003D5F7A" w:rsidRDefault="005B1694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Whole numbers, including positive and negative numbers, and common and decimal fractions can be ordered and compared using a number line.</w:t>
            </w:r>
          </w:p>
          <w:p w:rsidR="003D5F7A" w:rsidRDefault="003D5F7A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</w:p>
          <w:p w:rsidR="003D5F7A" w:rsidRDefault="003D5F7A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</w:p>
          <w:p w:rsidR="00FE5EA5" w:rsidRPr="00431397" w:rsidRDefault="00FE5EA5" w:rsidP="00431397">
            <w:pPr>
              <w:pStyle w:val="bullet"/>
              <w:ind w:left="0" w:firstLine="0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</w:tcPr>
          <w:p w:rsidR="001A5D17" w:rsidRDefault="001A5D17" w:rsidP="005B1694">
            <w:pPr>
              <w:ind w:left="94"/>
              <w:rPr>
                <w:sz w:val="28"/>
                <w:szCs w:val="28"/>
                <w:lang w:val="en-GB"/>
              </w:rPr>
            </w:pPr>
          </w:p>
          <w:p w:rsidR="001A5D17" w:rsidRDefault="001A5D17" w:rsidP="005B1694">
            <w:pPr>
              <w:ind w:left="94"/>
              <w:rPr>
                <w:sz w:val="28"/>
                <w:szCs w:val="28"/>
                <w:lang w:val="en-GB"/>
              </w:rPr>
            </w:pPr>
          </w:p>
          <w:p w:rsidR="00FE5EA5" w:rsidRPr="005D7E6A" w:rsidRDefault="001A5D17" w:rsidP="005B1694">
            <w:pPr>
              <w:ind w:left="94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8"/>
                <w:szCs w:val="28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8"/>
                <w:szCs w:val="28"/>
                <w:lang w:val="en-GB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  <w:tr w:rsidR="00FE5EA5" w:rsidRPr="00DF507B">
        <w:tc>
          <w:tcPr>
            <w:tcW w:w="5038" w:type="dxa"/>
            <w:shd w:val="clear" w:color="auto" w:fill="auto"/>
          </w:tcPr>
          <w:p w:rsidR="005B1694" w:rsidRPr="00431397" w:rsidRDefault="005B1694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Common fractions can be represented as equivalent fractions, decimals and percentages for different purposes</w:t>
            </w:r>
          </w:p>
          <w:p w:rsidR="005B1694" w:rsidRPr="00431397" w:rsidRDefault="00431397" w:rsidP="00431397">
            <w:pPr>
              <w:pStyle w:val="exampletext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</w:t>
            </w:r>
            <w:proofErr w:type="gramStart"/>
            <w:r w:rsidR="005B1694"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="005B1694" w:rsidRPr="00431397">
              <w:rPr>
                <w:rFonts w:asciiTheme="majorHAnsi" w:hAnsiTheme="majorHAnsi"/>
                <w:sz w:val="22"/>
              </w:rPr>
              <w:t>.</w:t>
            </w:r>
            <w:r w:rsidR="005B1694" w:rsidRPr="00431397">
              <w:rPr>
                <w:rFonts w:asciiTheme="majorHAnsi" w:hAnsiTheme="majorHAnsi"/>
                <w:sz w:val="22"/>
              </w:rPr>
              <w:tab/>
              <w:t>2/5 = 4/10  = 0.4 = 40%.</w:t>
            </w:r>
          </w:p>
          <w:p w:rsidR="003D5F7A" w:rsidRDefault="003D5F7A" w:rsidP="00431397">
            <w:pPr>
              <w:pStyle w:val="bullet"/>
              <w:ind w:left="0" w:firstLine="0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  <w:p w:rsidR="003D5F7A" w:rsidRDefault="003D5F7A" w:rsidP="00431397">
            <w:pPr>
              <w:pStyle w:val="bullet"/>
              <w:ind w:left="0" w:firstLine="0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  <w:p w:rsidR="00FE5EA5" w:rsidRPr="00431397" w:rsidRDefault="00FE5EA5" w:rsidP="00431397">
            <w:pPr>
              <w:pStyle w:val="bullet"/>
              <w:ind w:left="0" w:firstLine="0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</w:tcPr>
          <w:p w:rsidR="001A5D17" w:rsidRDefault="001A5D17" w:rsidP="005B1694">
            <w:pPr>
              <w:ind w:left="94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left="94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left="94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  <w:tr w:rsidR="00FE5EA5" w:rsidRPr="00DF507B">
        <w:tc>
          <w:tcPr>
            <w:tcW w:w="5038" w:type="dxa"/>
            <w:shd w:val="clear" w:color="auto" w:fill="auto"/>
          </w:tcPr>
          <w:p w:rsidR="005B1694" w:rsidRPr="00431397" w:rsidRDefault="005B1694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lastRenderedPageBreak/>
              <w:t>Percentages, rate, ratio and proportion can be used to describe relationships between quantities and to solve problems in practical situations involving money, time and other measures</w:t>
            </w:r>
          </w:p>
          <w:p w:rsidR="005B1694" w:rsidRPr="00431397" w:rsidRDefault="00431397" w:rsidP="00431397">
            <w:pPr>
              <w:pStyle w:val="exampletext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</w:t>
            </w:r>
            <w:r w:rsidR="005B1694" w:rsidRPr="00431397">
              <w:rPr>
                <w:rFonts w:asciiTheme="majorHAnsi" w:hAnsiTheme="majorHAnsi"/>
                <w:sz w:val="22"/>
              </w:rPr>
              <w:t>e.g.</w:t>
            </w:r>
            <w:r w:rsidR="005B1694" w:rsidRPr="00431397">
              <w:rPr>
                <w:rFonts w:asciiTheme="majorHAnsi" w:hAnsiTheme="majorHAnsi"/>
                <w:sz w:val="22"/>
              </w:rPr>
              <w:tab/>
              <w:t>if a breakfast drink contains 10% mango juice, 20% pineapple juice, 30% orange juice and the rest is water, how many millilitres of each juice is there in a 2-litre container of the breakfast drink?; find the number of girls in a school as a proportion of the total number of students in the school; for two similar products such as breakfast cereal, determine which is better value by comparing the mass of cereal in each package and the cost.</w:t>
            </w:r>
          </w:p>
          <w:p w:rsidR="00FE5EA5" w:rsidRPr="00431397" w:rsidRDefault="00FE5EA5" w:rsidP="00431397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  <w:tr w:rsidR="00FE5EA5" w:rsidRPr="00DF507B">
        <w:tc>
          <w:tcPr>
            <w:tcW w:w="5038" w:type="dxa"/>
            <w:shd w:val="clear" w:color="auto" w:fill="auto"/>
          </w:tcPr>
          <w:p w:rsidR="005B1694" w:rsidRPr="00431397" w:rsidRDefault="005B1694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Estimation strategies including rounding, and estimates based on powers of 10, assist in checking for reasonableness of calculations involving whole numbers and common and decimal fractions</w:t>
            </w:r>
          </w:p>
          <w:p w:rsidR="005B1694" w:rsidRPr="00431397" w:rsidRDefault="00431397" w:rsidP="00431397">
            <w:pPr>
              <w:pStyle w:val="exampletext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</w:t>
            </w:r>
            <w:proofErr w:type="gramStart"/>
            <w:r w:rsidR="005B1694"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="005B1694" w:rsidRPr="00431397">
              <w:rPr>
                <w:rFonts w:asciiTheme="majorHAnsi" w:hAnsiTheme="majorHAnsi"/>
                <w:sz w:val="22"/>
              </w:rPr>
              <w:t>.</w:t>
            </w:r>
            <w:r w:rsidR="005B1694" w:rsidRPr="00431397">
              <w:rPr>
                <w:rFonts w:asciiTheme="majorHAnsi" w:hAnsiTheme="majorHAnsi"/>
                <w:sz w:val="22"/>
              </w:rPr>
              <w:tab/>
              <w:t>38.25 × 52.88 rounds to 40 × 50, so the answer will be approximately 2000.</w:t>
            </w:r>
          </w:p>
          <w:p w:rsidR="00FE5EA5" w:rsidRPr="00431397" w:rsidRDefault="00FE5EA5" w:rsidP="00431397">
            <w:pPr>
              <w:pStyle w:val="bullet"/>
              <w:ind w:left="0" w:firstLine="0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left="94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Default="00FE5EA5" w:rsidP="005B1694">
            <w:pPr>
              <w:ind w:firstLine="57"/>
              <w:rPr>
                <w:sz w:val="20"/>
                <w:szCs w:val="20"/>
              </w:rPr>
            </w:pPr>
          </w:p>
          <w:p w:rsidR="00B90ADA" w:rsidRDefault="00B90ADA" w:rsidP="005B1694">
            <w:pPr>
              <w:ind w:firstLine="57"/>
              <w:rPr>
                <w:sz w:val="20"/>
                <w:szCs w:val="20"/>
              </w:rPr>
            </w:pPr>
          </w:p>
          <w:p w:rsidR="00B90ADA" w:rsidRDefault="00B90ADA" w:rsidP="005B1694">
            <w:pPr>
              <w:ind w:firstLine="57"/>
              <w:rPr>
                <w:sz w:val="20"/>
                <w:szCs w:val="20"/>
              </w:rPr>
            </w:pPr>
          </w:p>
          <w:p w:rsidR="00B90ADA" w:rsidRDefault="00B90ADA" w:rsidP="005B1694">
            <w:pPr>
              <w:ind w:firstLine="57"/>
              <w:rPr>
                <w:sz w:val="20"/>
                <w:szCs w:val="20"/>
              </w:rPr>
            </w:pPr>
          </w:p>
          <w:p w:rsidR="00B90ADA" w:rsidRPr="00DF507B" w:rsidRDefault="00B90ADA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  <w:tr w:rsidR="00FE5EA5" w:rsidRPr="00DF507B">
        <w:tc>
          <w:tcPr>
            <w:tcW w:w="5038" w:type="dxa"/>
            <w:shd w:val="clear" w:color="auto" w:fill="auto"/>
          </w:tcPr>
          <w:p w:rsidR="005B1694" w:rsidRPr="00431397" w:rsidRDefault="005B1694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Problems can be interpreted and solved by selecting from the four operations and mental, written and technology-assisted strategies</w:t>
            </w:r>
          </w:p>
          <w:p w:rsidR="005B1694" w:rsidRPr="00431397" w:rsidRDefault="00431397" w:rsidP="00431397">
            <w:pPr>
              <w:pStyle w:val="exampletext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</w:t>
            </w:r>
            <w:proofErr w:type="gramStart"/>
            <w:r w:rsidR="005B1694"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="005B1694" w:rsidRPr="00431397">
              <w:rPr>
                <w:rFonts w:asciiTheme="majorHAnsi" w:hAnsiTheme="majorHAnsi"/>
                <w:sz w:val="22"/>
              </w:rPr>
              <w:t>.</w:t>
            </w:r>
            <w:r w:rsidR="005B1694" w:rsidRPr="00431397">
              <w:rPr>
                <w:rFonts w:asciiTheme="majorHAnsi" w:hAnsiTheme="majorHAnsi"/>
                <w:sz w:val="22"/>
              </w:rPr>
              <w:tab/>
              <w:t>find the price of a $68.00 shirt with 25% discount.</w:t>
            </w:r>
          </w:p>
          <w:p w:rsidR="00FE5EA5" w:rsidRPr="00431397" w:rsidRDefault="00FE5EA5" w:rsidP="00431397">
            <w:pPr>
              <w:pStyle w:val="bullet"/>
              <w:tabs>
                <w:tab w:val="left" w:pos="1080"/>
              </w:tabs>
              <w:ind w:left="0" w:firstLine="0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  <w:tr w:rsidR="00FE5EA5" w:rsidRPr="00DF507B">
        <w:tc>
          <w:tcPr>
            <w:tcW w:w="5038" w:type="dxa"/>
            <w:shd w:val="clear" w:color="auto" w:fill="auto"/>
          </w:tcPr>
          <w:p w:rsidR="005B1694" w:rsidRPr="00431397" w:rsidRDefault="005B1694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lastRenderedPageBreak/>
              <w:t>Financial decisions and transactions are influenced by a range of factors, including value for money, discounts, method of payment, and available income or savings</w:t>
            </w:r>
          </w:p>
          <w:p w:rsidR="005B1694" w:rsidRPr="00431397" w:rsidRDefault="00431397" w:rsidP="00431397">
            <w:pPr>
              <w:pStyle w:val="exampletext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</w:t>
            </w:r>
            <w:proofErr w:type="gramStart"/>
            <w:r w:rsidR="005B1694"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="005B1694" w:rsidRPr="00431397">
              <w:rPr>
                <w:rFonts w:asciiTheme="majorHAnsi" w:hAnsiTheme="majorHAnsi"/>
                <w:sz w:val="22"/>
              </w:rPr>
              <w:t>.</w:t>
            </w:r>
            <w:r w:rsidR="005B1694" w:rsidRPr="00431397">
              <w:rPr>
                <w:rFonts w:asciiTheme="majorHAnsi" w:hAnsiTheme="majorHAnsi"/>
                <w:sz w:val="22"/>
              </w:rPr>
              <w:tab/>
              <w:t>interest earned is reduced when savings are spent.</w:t>
            </w:r>
          </w:p>
          <w:p w:rsidR="00FE5EA5" w:rsidRPr="00431397" w:rsidRDefault="00FE5EA5" w:rsidP="00431397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1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  <w:tr w:rsidR="00FE5EA5" w:rsidRPr="00DF507B">
        <w:tc>
          <w:tcPr>
            <w:tcW w:w="5038" w:type="dxa"/>
            <w:shd w:val="clear" w:color="auto" w:fill="auto"/>
          </w:tcPr>
          <w:p w:rsidR="005B1694" w:rsidRPr="00431397" w:rsidRDefault="005B1694" w:rsidP="00431397">
            <w:pPr>
              <w:pStyle w:val="bullet"/>
              <w:ind w:left="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Budgets and financial records are used to monitor income, savings and spending</w:t>
            </w:r>
          </w:p>
          <w:p w:rsidR="005B1694" w:rsidRPr="00431397" w:rsidRDefault="00431397" w:rsidP="00431397">
            <w:pPr>
              <w:pStyle w:val="exampletext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</w:t>
            </w:r>
            <w:proofErr w:type="gramStart"/>
            <w:r w:rsidR="005B1694"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="005B1694" w:rsidRPr="00431397">
              <w:rPr>
                <w:rFonts w:asciiTheme="majorHAnsi" w:hAnsiTheme="majorHAnsi"/>
                <w:sz w:val="22"/>
              </w:rPr>
              <w:t>.</w:t>
            </w:r>
            <w:r w:rsidR="005B1694" w:rsidRPr="00431397">
              <w:rPr>
                <w:rFonts w:asciiTheme="majorHAnsi" w:hAnsiTheme="majorHAnsi"/>
                <w:sz w:val="22"/>
              </w:rPr>
              <w:tab/>
              <w:t>using bank statements and ATM slips to review and manage a personal budget.</w:t>
            </w:r>
          </w:p>
          <w:p w:rsidR="00FE5EA5" w:rsidRPr="00431397" w:rsidRDefault="00FE5EA5" w:rsidP="00431397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shd w:val="pct1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  <w:tr w:rsidR="00FE5EA5" w:rsidRPr="00DF507B">
        <w:tc>
          <w:tcPr>
            <w:tcW w:w="5038" w:type="dxa"/>
            <w:tcBorders>
              <w:bottom w:val="single" w:sz="4" w:space="0" w:color="auto"/>
            </w:tcBorders>
            <w:shd w:val="clear" w:color="auto" w:fill="auto"/>
          </w:tcPr>
          <w:p w:rsidR="004C34D6" w:rsidRDefault="004C34D6" w:rsidP="00431397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D5F7A" w:rsidRDefault="005B1694" w:rsidP="00431397">
            <w:pPr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Cashless transactions include the use of cheques, EFTPOS, credit and debit cards, and money orders.</w:t>
            </w:r>
          </w:p>
          <w:p w:rsidR="00FE5EA5" w:rsidRPr="00431397" w:rsidRDefault="00FE5EA5" w:rsidP="00431397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pct2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pct10" w:color="auto" w:fill="auto"/>
          </w:tcPr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1A5D17" w:rsidRDefault="001A5D17" w:rsidP="005B1694">
            <w:pPr>
              <w:ind w:firstLine="57"/>
              <w:rPr>
                <w:sz w:val="20"/>
                <w:szCs w:val="20"/>
              </w:rPr>
            </w:pPr>
          </w:p>
          <w:p w:rsidR="00FE5EA5" w:rsidRPr="00DF507B" w:rsidRDefault="001A5D17" w:rsidP="005B1694">
            <w:pPr>
              <w:ind w:firstLine="57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FE5EA5" w:rsidRPr="00DF507B" w:rsidRDefault="00FE5EA5" w:rsidP="005B1694">
            <w:pPr>
              <w:ind w:firstLine="57"/>
              <w:rPr>
                <w:sz w:val="20"/>
                <w:szCs w:val="20"/>
              </w:rPr>
            </w:pPr>
          </w:p>
        </w:tc>
      </w:tr>
    </w:tbl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5B1694" w:rsidRDefault="005B1694"/>
    <w:tbl>
      <w:tblPr>
        <w:tblW w:w="148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537"/>
        <w:gridCol w:w="537"/>
        <w:gridCol w:w="485"/>
        <w:gridCol w:w="589"/>
        <w:gridCol w:w="537"/>
        <w:gridCol w:w="537"/>
        <w:gridCol w:w="537"/>
        <w:gridCol w:w="494"/>
        <w:gridCol w:w="567"/>
        <w:gridCol w:w="567"/>
        <w:gridCol w:w="537"/>
        <w:gridCol w:w="537"/>
        <w:gridCol w:w="627"/>
        <w:gridCol w:w="537"/>
        <w:gridCol w:w="538"/>
        <w:gridCol w:w="538"/>
        <w:gridCol w:w="537"/>
        <w:gridCol w:w="537"/>
      </w:tblGrid>
      <w:tr w:rsidR="007209C2" w:rsidRPr="00DF507B">
        <w:tc>
          <w:tcPr>
            <w:tcW w:w="5038" w:type="dxa"/>
            <w:vMerge w:val="restart"/>
            <w:shd w:val="clear" w:color="auto" w:fill="F2F2F2" w:themeFill="background1" w:themeFillShade="F2"/>
          </w:tcPr>
          <w:p w:rsidR="007209C2" w:rsidRPr="00DF507B" w:rsidRDefault="007209C2" w:rsidP="00646730">
            <w:pPr>
              <w:pStyle w:val="Heading41"/>
              <w:pBdr>
                <w:top w:val="single" w:sz="4" w:space="1" w:color="D9D9D9"/>
                <w:left w:val="single" w:sz="4" w:space="4" w:color="D9D9D9"/>
                <w:bottom w:val="single" w:sz="4" w:space="1" w:color="D9D9D9"/>
                <w:right w:val="single" w:sz="4" w:space="4" w:color="D9D9D9"/>
              </w:pBdr>
              <w:shd w:val="clear" w:color="BFBFBF" w:fill="FFFFFF"/>
              <w:rPr>
                <w:rFonts w:ascii="Calibri" w:hAnsi="Calibri"/>
                <w:i w:val="0"/>
                <w:iCs/>
                <w:color w:val="auto"/>
                <w:sz w:val="44"/>
                <w:szCs w:val="28"/>
                <w:lang w:val="en-GB"/>
              </w:rPr>
            </w:pPr>
            <w:r w:rsidRPr="00DF507B">
              <w:rPr>
                <w:rFonts w:ascii="Calibri" w:hAnsi="Calibri"/>
                <w:i w:val="0"/>
                <w:iCs/>
                <w:color w:val="auto"/>
                <w:sz w:val="44"/>
                <w:szCs w:val="28"/>
                <w:lang w:val="en-GB"/>
              </w:rPr>
              <w:lastRenderedPageBreak/>
              <w:t>Algebra</w:t>
            </w:r>
          </w:p>
          <w:p w:rsidR="007209C2" w:rsidRPr="00DF507B" w:rsidRDefault="007209C2" w:rsidP="00646730">
            <w:pPr>
              <w:pBdr>
                <w:top w:val="single" w:sz="4" w:space="1" w:color="D9D9D9"/>
                <w:left w:val="single" w:sz="4" w:space="4" w:color="D9D9D9"/>
                <w:bottom w:val="single" w:sz="4" w:space="1" w:color="D9D9D9"/>
                <w:right w:val="single" w:sz="4" w:space="4" w:color="D9D9D9"/>
              </w:pBdr>
              <w:shd w:val="clear" w:color="BFBFBF" w:fill="FFFFFF"/>
              <w:rPr>
                <w:lang w:val="en-GB"/>
              </w:rPr>
            </w:pPr>
          </w:p>
          <w:p w:rsidR="003D5F7A" w:rsidRPr="004C34D6" w:rsidRDefault="007209C2" w:rsidP="007209C2">
            <w:pPr>
              <w:pStyle w:val="bullet"/>
              <w:tabs>
                <w:tab w:val="left" w:pos="3620"/>
              </w:tabs>
              <w:ind w:left="0" w:firstLine="0"/>
              <w:rPr>
                <w:rFonts w:asciiTheme="majorHAnsi" w:hAnsiTheme="majorHAnsi"/>
                <w:i/>
                <w:sz w:val="24"/>
                <w:lang w:val="en-GB"/>
              </w:rPr>
            </w:pPr>
            <w:r w:rsidRPr="004C34D6">
              <w:rPr>
                <w:rFonts w:asciiTheme="majorHAnsi" w:hAnsiTheme="majorHAnsi"/>
                <w:i/>
                <w:sz w:val="24"/>
                <w:lang w:val="en-GB"/>
              </w:rPr>
              <w:t>Algebraic expressions and equations can be applied to describe equivalence and solve problems.</w:t>
            </w:r>
          </w:p>
          <w:p w:rsidR="007209C2" w:rsidRPr="003D5F7A" w:rsidRDefault="007209C2" w:rsidP="007209C2">
            <w:pPr>
              <w:pStyle w:val="bullet"/>
              <w:tabs>
                <w:tab w:val="left" w:pos="3620"/>
              </w:tabs>
              <w:ind w:left="0" w:firstLine="0"/>
              <w:rPr>
                <w:rFonts w:ascii="Calibri" w:hAnsi="Calibri"/>
                <w:i/>
                <w:color w:val="auto"/>
                <w:sz w:val="24"/>
                <w:szCs w:val="22"/>
                <w:lang w:val="en-GB"/>
              </w:rPr>
            </w:pPr>
            <w:r w:rsidRPr="003D5F7A">
              <w:rPr>
                <w:rFonts w:ascii="Calibri" w:hAnsi="Calibri"/>
                <w:i/>
                <w:color w:val="auto"/>
                <w:sz w:val="24"/>
                <w:szCs w:val="22"/>
                <w:lang w:val="en-GB"/>
              </w:rPr>
              <w:tab/>
            </w:r>
          </w:p>
        </w:tc>
        <w:tc>
          <w:tcPr>
            <w:tcW w:w="4820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1 (2009-2010)</w:t>
            </w:r>
          </w:p>
        </w:tc>
        <w:tc>
          <w:tcPr>
            <w:tcW w:w="4955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2 (2010-2011)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bulle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b/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3343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bulle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63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598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  <w:tc>
          <w:tcPr>
            <w:tcW w:w="1641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702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2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</w:tr>
      <w:tr w:rsidR="007209C2" w:rsidRPr="00DF507B">
        <w:trPr>
          <w:trHeight w:val="429"/>
        </w:trPr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bulle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485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89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494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6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62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8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8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Space</w:t>
            </w: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275C3A" w:rsidRPr="00431397" w:rsidRDefault="00275C3A" w:rsidP="00431397">
            <w:pPr>
              <w:pStyle w:val="bullet"/>
              <w:ind w:left="11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Expressions and relationships, including formulas and simple equations, can be demonstrated using words, diagrams, materials and symbols to represent variables</w:t>
            </w:r>
          </w:p>
          <w:p w:rsidR="00275C3A" w:rsidRPr="00431397" w:rsidRDefault="00431397" w:rsidP="00431397">
            <w:pPr>
              <w:pStyle w:val="exampletext"/>
              <w:ind w:left="11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</w:t>
            </w:r>
            <w:proofErr w:type="gramStart"/>
            <w:r w:rsidR="00275C3A"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="00275C3A" w:rsidRPr="00431397">
              <w:rPr>
                <w:rFonts w:asciiTheme="majorHAnsi" w:hAnsiTheme="majorHAnsi"/>
                <w:sz w:val="22"/>
              </w:rPr>
              <w:t>.</w:t>
            </w:r>
            <w:r w:rsidR="00275C3A" w:rsidRPr="00431397">
              <w:rPr>
                <w:rFonts w:asciiTheme="majorHAnsi" w:hAnsiTheme="majorHAnsi"/>
                <w:sz w:val="22"/>
              </w:rPr>
              <w:tab/>
              <w:t>relate the expression “the perimeter of a rectangle is equal to twice its length plus twice its width” to the corresponding diagram and the formulas perimeter = 2 × length + 2 × width or p = 2 × l + 2 × w; find the perimeter of a rectangle with length 8 cm and width 5 cm.</w:t>
            </w:r>
          </w:p>
          <w:p w:rsidR="003D5F7A" w:rsidRDefault="007209C2" w:rsidP="003D5F7A">
            <w:pPr>
              <w:tabs>
                <w:tab w:val="left" w:pos="0"/>
                <w:tab w:val="left" w:pos="3229"/>
              </w:tabs>
              <w:ind w:left="11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1397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</w:p>
          <w:p w:rsidR="007209C2" w:rsidRPr="00431397" w:rsidRDefault="007209C2" w:rsidP="00431397">
            <w:pPr>
              <w:tabs>
                <w:tab w:val="left" w:pos="0"/>
                <w:tab w:val="left" w:pos="3229"/>
              </w:tabs>
              <w:ind w:left="11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485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275C3A" w:rsidRPr="00431397" w:rsidRDefault="00275C3A" w:rsidP="00431397">
            <w:pPr>
              <w:pStyle w:val="bullet"/>
              <w:ind w:left="11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Equations and expressions involving addition, subtraction and multiplication can be solved to establish equivalence</w:t>
            </w:r>
          </w:p>
          <w:p w:rsidR="007209C2" w:rsidRPr="003D5F7A" w:rsidRDefault="00275C3A" w:rsidP="003D5F7A">
            <w:pPr>
              <w:pStyle w:val="exampletext"/>
              <w:ind w:left="110" w:firstLine="0"/>
              <w:rPr>
                <w:rFonts w:asciiTheme="majorHAnsi" w:hAnsiTheme="majorHAnsi"/>
                <w:sz w:val="22"/>
              </w:rPr>
            </w:pPr>
            <w:r w:rsidRPr="00431397">
              <w:rPr>
                <w:rFonts w:asciiTheme="majorHAnsi" w:hAnsiTheme="majorHAnsi"/>
                <w:sz w:val="22"/>
              </w:rPr>
              <w:t>e.g.</w:t>
            </w:r>
            <w:r w:rsidRPr="00431397">
              <w:rPr>
                <w:rFonts w:asciiTheme="majorHAnsi" w:hAnsiTheme="majorHAnsi"/>
                <w:sz w:val="22"/>
              </w:rPr>
              <w:tab/>
              <w:t xml:space="preserve">use materials, diagrams and number examples to explain why (2 × 6) + (3 × 6) = 5 × 6 and generalises to </w:t>
            </w:r>
            <w:r w:rsidRPr="00431397">
              <w:rPr>
                <w:rFonts w:asciiTheme="majorHAnsi" w:hAnsiTheme="majorHAnsi"/>
                <w:sz w:val="22"/>
              </w:rPr>
              <w:br/>
              <w:t>(2 × n) + (3 × n) = 5 × n.</w:t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6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275C3A" w:rsidRPr="00431397" w:rsidRDefault="00275C3A" w:rsidP="00431397">
            <w:pPr>
              <w:pStyle w:val="bullet"/>
              <w:ind w:left="110" w:firstLine="0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lastRenderedPageBreak/>
              <w:t>The order of operations identifies the appropriate sequence of operations used in calculations to obtain solutions</w:t>
            </w:r>
          </w:p>
          <w:p w:rsidR="00275C3A" w:rsidRPr="00431397" w:rsidRDefault="003D5F7A" w:rsidP="00431397">
            <w:pPr>
              <w:pStyle w:val="exampletext"/>
              <w:ind w:left="11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</w:t>
            </w:r>
            <w:proofErr w:type="gramStart"/>
            <w:r w:rsidR="00275C3A"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="00275C3A" w:rsidRPr="00431397">
              <w:rPr>
                <w:rFonts w:asciiTheme="majorHAnsi" w:hAnsiTheme="majorHAnsi"/>
                <w:sz w:val="22"/>
              </w:rPr>
              <w:t>.</w:t>
            </w:r>
            <w:r w:rsidR="00275C3A" w:rsidRPr="00431397">
              <w:rPr>
                <w:rFonts w:asciiTheme="majorHAnsi" w:hAnsiTheme="majorHAnsi"/>
                <w:sz w:val="22"/>
              </w:rPr>
              <w:tab/>
              <w:t>the order of operations is applied to solve 5 + 4 × 6 = 29.</w:t>
            </w:r>
          </w:p>
          <w:p w:rsidR="007209C2" w:rsidRPr="00431397" w:rsidRDefault="007209C2" w:rsidP="00431397">
            <w:pPr>
              <w:ind w:left="11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485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209C2" w:rsidRDefault="00E97063" w:rsidP="00431397">
            <w:pPr>
              <w:pStyle w:val="exampletext"/>
              <w:ind w:left="110" w:firstLine="0"/>
              <w:rPr>
                <w:rFonts w:asciiTheme="majorHAnsi" w:hAnsiTheme="majorHAnsi"/>
                <w:i w:val="0"/>
                <w:iCs w:val="0"/>
                <w:sz w:val="22"/>
              </w:rPr>
            </w:pPr>
            <w:r>
              <w:rPr>
                <w:rFonts w:asciiTheme="majorHAnsi" w:hAnsiTheme="majorHAnsi"/>
                <w:i w:val="0"/>
                <w:iCs w:val="0"/>
                <w:sz w:val="22"/>
              </w:rPr>
              <w:t>Tables of values for functions using input-output rules can be constructed and the resulting ordered pairs graphed</w:t>
            </w:r>
          </w:p>
          <w:p w:rsidR="00E97063" w:rsidRPr="00E97063" w:rsidRDefault="00E97063" w:rsidP="00431397">
            <w:pPr>
              <w:pStyle w:val="exampletext"/>
              <w:ind w:left="11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i w:val="0"/>
                <w:iCs w:val="0"/>
                <w:sz w:val="22"/>
              </w:rPr>
              <w:t xml:space="preserve">   </w:t>
            </w:r>
            <w:r>
              <w:rPr>
                <w:rFonts w:asciiTheme="majorHAnsi" w:hAnsiTheme="majorHAnsi"/>
                <w:sz w:val="22"/>
              </w:rPr>
              <w:t>e.g. use a rule that explains the relationships between pairs of terms in a sequence to calculate the value of the 12</w:t>
            </w:r>
            <w:r w:rsidRPr="00E97063">
              <w:rPr>
                <w:rFonts w:asciiTheme="majorHAnsi" w:hAnsiTheme="majorHAnsi"/>
                <w:sz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</w:rPr>
              <w:t xml:space="preserve"> term in the sequence</w:t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6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</w:tbl>
    <w:p w:rsidR="007209C2" w:rsidRDefault="007209C2"/>
    <w:p w:rsidR="007209C2" w:rsidRDefault="007209C2"/>
    <w:tbl>
      <w:tblPr>
        <w:tblW w:w="14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8"/>
        <w:gridCol w:w="537"/>
        <w:gridCol w:w="537"/>
      </w:tblGrid>
      <w:tr w:rsidR="007209C2" w:rsidRPr="00DF507B">
        <w:tc>
          <w:tcPr>
            <w:tcW w:w="5038" w:type="dxa"/>
            <w:vMerge w:val="restart"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heading4TOP"/>
              <w:rPr>
                <w:rFonts w:ascii="Calibri" w:hAnsi="Calibri"/>
                <w:i w:val="0"/>
                <w:iCs/>
                <w:color w:val="auto"/>
                <w:sz w:val="48"/>
                <w:szCs w:val="28"/>
              </w:rPr>
            </w:pPr>
            <w:r w:rsidRPr="00DF507B">
              <w:rPr>
                <w:rFonts w:ascii="Calibri" w:hAnsi="Calibri"/>
                <w:i w:val="0"/>
                <w:iCs/>
                <w:color w:val="auto"/>
                <w:sz w:val="48"/>
                <w:szCs w:val="28"/>
              </w:rPr>
              <w:lastRenderedPageBreak/>
              <w:t>Measurement</w:t>
            </w:r>
          </w:p>
          <w:p w:rsidR="00275C3A" w:rsidRPr="003D5F7A" w:rsidRDefault="00275C3A" w:rsidP="00275C3A">
            <w:pPr>
              <w:rPr>
                <w:i/>
                <w:lang w:val="en-GB"/>
              </w:rPr>
            </w:pPr>
            <w:r w:rsidRPr="003D5F7A">
              <w:rPr>
                <w:i/>
                <w:lang w:val="en-GB"/>
              </w:rPr>
              <w:t xml:space="preserve">Relationships between units of measure and the attributes of length, area, volume, </w:t>
            </w:r>
            <w:proofErr w:type="gramStart"/>
            <w:r w:rsidRPr="003D5F7A">
              <w:rPr>
                <w:i/>
                <w:lang w:val="en-GB"/>
              </w:rPr>
              <w:t>mass,</w:t>
            </w:r>
            <w:proofErr w:type="gramEnd"/>
            <w:r w:rsidRPr="003D5F7A">
              <w:rPr>
                <w:i/>
                <w:lang w:val="en-GB"/>
              </w:rPr>
              <w:t xml:space="preserve"> time and angles are used to calculate measures that may contain some error.</w:t>
            </w:r>
          </w:p>
          <w:p w:rsidR="007209C2" w:rsidRPr="00275C3A" w:rsidRDefault="007209C2" w:rsidP="007209C2">
            <w:pPr>
              <w:pStyle w:val="heading4TOP"/>
              <w:rPr>
                <w:rFonts w:ascii="Calibri" w:hAnsi="Calibri"/>
                <w:i w:val="0"/>
                <w:iCs/>
                <w:color w:val="auto"/>
                <w:sz w:val="24"/>
                <w:szCs w:val="28"/>
              </w:rPr>
            </w:pPr>
          </w:p>
          <w:p w:rsidR="007209C2" w:rsidRPr="00DF507B" w:rsidRDefault="00CD7D20" w:rsidP="00CD7D20">
            <w:pPr>
              <w:pStyle w:val="bullet"/>
              <w:tabs>
                <w:tab w:val="left" w:pos="3120"/>
              </w:tabs>
              <w:ind w:left="0" w:firstLine="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ab/>
            </w:r>
          </w:p>
        </w:tc>
        <w:tc>
          <w:tcPr>
            <w:tcW w:w="4833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1 (2009-2010)</w:t>
            </w:r>
          </w:p>
        </w:tc>
        <w:tc>
          <w:tcPr>
            <w:tcW w:w="4835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2 (2010-2011)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bullet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22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3223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bullet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11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1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1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  <w:tc>
          <w:tcPr>
            <w:tcW w:w="1611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2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2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</w:tr>
      <w:tr w:rsidR="007209C2" w:rsidRPr="00DF507B">
        <w:trPr>
          <w:trHeight w:val="429"/>
        </w:trPr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bullet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8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8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Space</w:t>
            </w: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275C3A" w:rsidRPr="00431397" w:rsidRDefault="00275C3A" w:rsidP="00275C3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Timetables and duration of events involving both 12- and 24-hour time cycles and Australian time zones can be calculated</w:t>
            </w:r>
          </w:p>
          <w:p w:rsidR="00275C3A" w:rsidRPr="00431397" w:rsidRDefault="00275C3A" w:rsidP="00275C3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calculate the length of a flight between the east and west coast of Australia, taking into account the time difference.</w:t>
            </w:r>
          </w:p>
          <w:p w:rsidR="007209C2" w:rsidRPr="00431397" w:rsidRDefault="007209C2" w:rsidP="007209C2">
            <w:pPr>
              <w:pStyle w:val="exampletex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275C3A" w:rsidRPr="00431397" w:rsidRDefault="00275C3A" w:rsidP="00275C3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Appropriate instruments, technologies and scale are used when exploring measurement of length, area, volume, mass, time and angles where not all of the graduations are numbered</w:t>
            </w:r>
          </w:p>
          <w:p w:rsidR="00275C3A" w:rsidRPr="00431397" w:rsidRDefault="00275C3A" w:rsidP="00275C3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reading a speedometer between 60 km/h and 70 km/h.</w:t>
            </w:r>
          </w:p>
          <w:p w:rsidR="007209C2" w:rsidRPr="00431397" w:rsidRDefault="007209C2" w:rsidP="007209C2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275C3A" w:rsidRPr="00431397" w:rsidRDefault="00275C3A" w:rsidP="00275C3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Relationships exist within the International System (SI) of measures, including between mm, cm, m and km; kg and t; cm</w:t>
            </w:r>
            <w:r w:rsidRPr="00431397">
              <w:rPr>
                <w:rFonts w:asciiTheme="majorHAnsi" w:hAnsiTheme="majorHAnsi"/>
                <w:sz w:val="22"/>
                <w:vertAlign w:val="superscript"/>
                <w:lang w:val="en-GB"/>
              </w:rPr>
              <w:t>2</w:t>
            </w:r>
            <w:r w:rsidRPr="00431397">
              <w:rPr>
                <w:rFonts w:asciiTheme="majorHAnsi" w:hAnsiTheme="majorHAnsi"/>
                <w:sz w:val="22"/>
                <w:lang w:val="en-GB"/>
              </w:rPr>
              <w:t xml:space="preserve"> and m</w:t>
            </w:r>
            <w:r w:rsidRPr="00431397">
              <w:rPr>
                <w:rFonts w:asciiTheme="majorHAnsi" w:hAnsiTheme="majorHAnsi"/>
                <w:sz w:val="22"/>
                <w:vertAlign w:val="superscript"/>
                <w:lang w:val="en-GB"/>
              </w:rPr>
              <w:t>2</w:t>
            </w:r>
            <w:r w:rsidRPr="00431397">
              <w:rPr>
                <w:rFonts w:asciiTheme="majorHAnsi" w:hAnsiTheme="majorHAnsi"/>
                <w:sz w:val="22"/>
                <w:lang w:val="en-GB"/>
              </w:rPr>
              <w:t>; cm</w:t>
            </w:r>
            <w:r w:rsidRPr="00431397">
              <w:rPr>
                <w:rFonts w:asciiTheme="majorHAnsi" w:hAnsiTheme="majorHAnsi"/>
                <w:sz w:val="22"/>
                <w:vertAlign w:val="superscript"/>
                <w:lang w:val="en-GB"/>
              </w:rPr>
              <w:t>3</w:t>
            </w:r>
            <w:r w:rsidRPr="00431397">
              <w:rPr>
                <w:rFonts w:asciiTheme="majorHAnsi" w:hAnsiTheme="majorHAnsi"/>
                <w:sz w:val="22"/>
                <w:lang w:val="en-GB"/>
              </w:rPr>
              <w:t xml:space="preserve"> and m</w:t>
            </w:r>
            <w:r w:rsidRPr="00431397">
              <w:rPr>
                <w:rFonts w:asciiTheme="majorHAnsi" w:hAnsiTheme="majorHAnsi"/>
                <w:sz w:val="22"/>
                <w:vertAlign w:val="superscript"/>
                <w:lang w:val="en-GB"/>
              </w:rPr>
              <w:t>3</w:t>
            </w:r>
          </w:p>
          <w:p w:rsidR="00275C3A" w:rsidRPr="00431397" w:rsidRDefault="00275C3A" w:rsidP="00275C3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a load of mulch has a mass of 2500 kg = 2.5 t.</w:t>
            </w:r>
          </w:p>
          <w:p w:rsidR="007209C2" w:rsidRPr="00431397" w:rsidRDefault="007209C2" w:rsidP="007209C2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275C3A" w:rsidRPr="00431397" w:rsidRDefault="00275C3A" w:rsidP="00275C3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lastRenderedPageBreak/>
              <w:t>Relationships between attributes of regular 2D shapes and 3D objects can be used to develop rules that allow perimeter, area and volume to be calculated</w:t>
            </w:r>
          </w:p>
          <w:p w:rsidR="00275C3A" w:rsidRPr="00431397" w:rsidRDefault="00275C3A" w:rsidP="00275C3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using base area height to find the volume of a triangular prism.</w:t>
            </w:r>
          </w:p>
          <w:p w:rsidR="007209C2" w:rsidRPr="00431397" w:rsidRDefault="007209C2" w:rsidP="007209C2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275C3A" w:rsidRPr="00DF507B">
        <w:tc>
          <w:tcPr>
            <w:tcW w:w="5038" w:type="dxa"/>
            <w:shd w:val="clear" w:color="auto" w:fill="auto"/>
          </w:tcPr>
          <w:p w:rsidR="00275C3A" w:rsidRPr="00431397" w:rsidRDefault="00275C3A" w:rsidP="00275C3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Measurement involves error, which can be reduced through the selection and use of appropriate instruments and technologies</w:t>
            </w:r>
          </w:p>
          <w:p w:rsidR="00275C3A" w:rsidRPr="00431397" w:rsidRDefault="00275C3A" w:rsidP="00275C3A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431397">
              <w:rPr>
                <w:rFonts w:asciiTheme="majorHAnsi" w:hAnsiTheme="majorHAnsi"/>
                <w:sz w:val="22"/>
              </w:rPr>
              <w:t>e.g.</w:t>
            </w:r>
            <w:r w:rsidRPr="00431397">
              <w:rPr>
                <w:rFonts w:asciiTheme="majorHAnsi" w:hAnsiTheme="majorHAnsi"/>
                <w:sz w:val="22"/>
              </w:rPr>
              <w:tab/>
              <w:t>if several students use a stopwatch to time a 100 m race, the winner’s time is only likely to be accurate to the nearest one-tenth of a second because of different reaction times.</w:t>
            </w:r>
          </w:p>
          <w:p w:rsidR="00275C3A" w:rsidRPr="00431397" w:rsidRDefault="00275C3A" w:rsidP="007209C2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275C3A" w:rsidRDefault="00275C3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9E3F07" w:rsidRDefault="009E3F07">
            <w:pPr>
              <w:rPr>
                <w:sz w:val="28"/>
                <w:szCs w:val="28"/>
                <w:lang w:val="en-GB"/>
              </w:rPr>
            </w:pPr>
          </w:p>
          <w:p w:rsidR="009E3F07" w:rsidRDefault="009E3F07">
            <w:pPr>
              <w:rPr>
                <w:sz w:val="28"/>
                <w:szCs w:val="28"/>
                <w:lang w:val="en-GB"/>
              </w:rPr>
            </w:pPr>
          </w:p>
          <w:p w:rsidR="00275C3A" w:rsidRDefault="009E3F0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275C3A" w:rsidRDefault="00275C3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8" w:type="dxa"/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275C3A" w:rsidRDefault="00275C3A">
            <w:pPr>
              <w:rPr>
                <w:sz w:val="28"/>
                <w:szCs w:val="28"/>
                <w:lang w:val="en-GB"/>
              </w:rPr>
            </w:pPr>
          </w:p>
        </w:tc>
      </w:tr>
      <w:tr w:rsidR="00275C3A" w:rsidRPr="00DF507B">
        <w:tc>
          <w:tcPr>
            <w:tcW w:w="5038" w:type="dxa"/>
            <w:tcBorders>
              <w:bottom w:val="single" w:sz="4" w:space="0" w:color="auto"/>
            </w:tcBorders>
            <w:shd w:val="clear" w:color="auto" w:fill="auto"/>
          </w:tcPr>
          <w:p w:rsidR="00275C3A" w:rsidRPr="00431397" w:rsidRDefault="00275C3A" w:rsidP="00275C3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Estimation strategies are used to identify a reasonable range of values for a measurement</w:t>
            </w:r>
          </w:p>
          <w:p w:rsidR="00275C3A" w:rsidRPr="00431397" w:rsidRDefault="00275C3A" w:rsidP="00275C3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the liquid left in a partially full 1 L bottle is estimated to the nearest 50 ml.</w:t>
            </w:r>
          </w:p>
          <w:p w:rsidR="00275C3A" w:rsidRPr="00431397" w:rsidRDefault="00275C3A" w:rsidP="007209C2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9E3F07" w:rsidRDefault="009E3F07">
            <w:pPr>
              <w:rPr>
                <w:sz w:val="28"/>
                <w:szCs w:val="28"/>
                <w:lang w:val="en-GB"/>
              </w:rPr>
            </w:pPr>
          </w:p>
          <w:p w:rsidR="009E3F07" w:rsidRDefault="009E3F07">
            <w:pPr>
              <w:rPr>
                <w:sz w:val="28"/>
                <w:szCs w:val="28"/>
                <w:lang w:val="en-GB"/>
              </w:rPr>
            </w:pPr>
          </w:p>
          <w:p w:rsidR="00275C3A" w:rsidRDefault="009E3F0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275C3A" w:rsidRDefault="00275C3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pct20" w:color="auto" w:fill="auto"/>
          </w:tcPr>
          <w:p w:rsidR="00275C3A" w:rsidRDefault="00275C3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275C3A" w:rsidRPr="00DF507B" w:rsidRDefault="00275C3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275C3A" w:rsidRDefault="00275C3A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3D5F7A" w:rsidRDefault="003D5F7A"/>
    <w:p w:rsidR="007209C2" w:rsidRDefault="007209C2"/>
    <w:tbl>
      <w:tblPr>
        <w:tblW w:w="14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537"/>
        <w:gridCol w:w="537"/>
        <w:gridCol w:w="537"/>
        <w:gridCol w:w="537"/>
        <w:gridCol w:w="537"/>
        <w:gridCol w:w="537"/>
        <w:gridCol w:w="464"/>
        <w:gridCol w:w="610"/>
        <w:gridCol w:w="537"/>
        <w:gridCol w:w="537"/>
        <w:gridCol w:w="537"/>
        <w:gridCol w:w="537"/>
        <w:gridCol w:w="537"/>
        <w:gridCol w:w="537"/>
        <w:gridCol w:w="538"/>
        <w:gridCol w:w="538"/>
        <w:gridCol w:w="537"/>
        <w:gridCol w:w="537"/>
      </w:tblGrid>
      <w:tr w:rsidR="007209C2" w:rsidRPr="00DF507B">
        <w:tc>
          <w:tcPr>
            <w:tcW w:w="5038" w:type="dxa"/>
            <w:vMerge w:val="restart"/>
            <w:shd w:val="clear" w:color="auto" w:fill="F2F2F2" w:themeFill="background1" w:themeFillShade="F2"/>
          </w:tcPr>
          <w:p w:rsidR="007209C2" w:rsidRPr="00DF507B" w:rsidRDefault="007209C2" w:rsidP="007209C2">
            <w:pPr>
              <w:rPr>
                <w:color w:val="auto"/>
                <w:sz w:val="22"/>
                <w:szCs w:val="22"/>
                <w:lang w:val="en-GB"/>
              </w:rPr>
            </w:pPr>
          </w:p>
          <w:p w:rsidR="007209C2" w:rsidRPr="00DF507B" w:rsidRDefault="007209C2" w:rsidP="007209C2">
            <w:pPr>
              <w:pStyle w:val="Heading41"/>
              <w:spacing w:before="0"/>
              <w:rPr>
                <w:rFonts w:ascii="Calibri" w:hAnsi="Calibri"/>
                <w:i w:val="0"/>
                <w:iCs/>
                <w:color w:val="auto"/>
                <w:sz w:val="48"/>
                <w:szCs w:val="28"/>
                <w:lang w:val="en-GB"/>
              </w:rPr>
            </w:pPr>
            <w:r w:rsidRPr="00DF507B">
              <w:rPr>
                <w:rFonts w:ascii="Calibri" w:hAnsi="Calibri"/>
                <w:i w:val="0"/>
                <w:iCs/>
                <w:color w:val="auto"/>
                <w:sz w:val="48"/>
                <w:szCs w:val="28"/>
                <w:lang w:val="en-GB"/>
              </w:rPr>
              <w:t>Chance and Data</w:t>
            </w:r>
          </w:p>
          <w:p w:rsidR="00791ADA" w:rsidRPr="003D5F7A" w:rsidRDefault="00791ADA" w:rsidP="00791ADA">
            <w:pPr>
              <w:pStyle w:val="Heading41"/>
              <w:rPr>
                <w:rFonts w:asciiTheme="majorHAnsi" w:hAnsiTheme="majorHAnsi"/>
                <w:b w:val="0"/>
                <w:sz w:val="24"/>
                <w:lang w:val="en-GB"/>
              </w:rPr>
            </w:pPr>
            <w:r w:rsidRPr="003D5F7A">
              <w:rPr>
                <w:rFonts w:asciiTheme="majorHAnsi" w:hAnsiTheme="majorHAnsi"/>
                <w:b w:val="0"/>
                <w:sz w:val="24"/>
                <w:lang w:val="en-GB"/>
              </w:rPr>
              <w:t>Probability of events can be calculated from experimental data. Data can be summarised and represented to support inferences and conclusions.</w:t>
            </w:r>
          </w:p>
          <w:p w:rsidR="007209C2" w:rsidRPr="00DF507B" w:rsidRDefault="007209C2" w:rsidP="007209C2">
            <w:pPr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833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1 (2009-2010)</w:t>
            </w:r>
          </w:p>
        </w:tc>
        <w:tc>
          <w:tcPr>
            <w:tcW w:w="4835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2 (2010-2011)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22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3223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11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1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1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  <w:tc>
          <w:tcPr>
            <w:tcW w:w="1611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2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2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</w:tr>
      <w:tr w:rsidR="007209C2" w:rsidRPr="00DF507B">
        <w:trPr>
          <w:trHeight w:val="269"/>
        </w:trPr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464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10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8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8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Space</w:t>
            </w: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rPr>
                <w:rFonts w:asciiTheme="majorHAnsi" w:hAnsiTheme="majorHAnsi"/>
                <w:b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Events have different likelihoods of occurrence and estimates of probability can be expressed as percentages, common fractions or decimal fractions between 0 and 1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the likelihood of drawing a red card from a 52-card pack can be represented as 50%, 1/2 or 0.5.</w:t>
            </w: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464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Experimental data for chance events can be compared with theoretical probability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comparing the data gathered from tossing a six-sided dice 50 times with the theoretical probability of how many times the dice would land on a 6.</w:t>
            </w: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464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Data may be discrete and can be allocated to categories or numbered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gender is a discrete variable; the numbers of male and female students in a class.</w:t>
            </w: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464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lastRenderedPageBreak/>
              <w:t>Data may be continuous and described as distributions of quantities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growth of a plant; time elapsed.</w:t>
            </w:r>
          </w:p>
          <w:p w:rsidR="007209C2" w:rsidRPr="00431397" w:rsidRDefault="007209C2" w:rsidP="007209C2">
            <w:pPr>
              <w:pStyle w:val="bullet"/>
              <w:ind w:left="360" w:firstLine="0"/>
              <w:rPr>
                <w:rFonts w:asciiTheme="majorHAnsi" w:hAnsiTheme="maj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91ADA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Sample data drawn from a given population can be summarised, compared and represented in a variety of ways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two-way tables; pie charts; bar or line graphs.</w:t>
            </w:r>
          </w:p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64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91ADA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</w:tr>
      <w:tr w:rsidR="00791ADA" w:rsidRPr="00DF507B">
        <w:trPr>
          <w:trHeight w:val="419"/>
        </w:trPr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Measures of location such as mean, median and mode, and frequency and relative frequency, can be used to explore distributions of sample data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431397">
              <w:rPr>
                <w:rFonts w:asciiTheme="majorHAnsi" w:hAnsiTheme="majorHAnsi"/>
                <w:sz w:val="22"/>
              </w:rPr>
              <w:t>e.g.</w:t>
            </w:r>
            <w:r w:rsidRPr="00431397">
              <w:rPr>
                <w:rFonts w:asciiTheme="majorHAnsi" w:hAnsiTheme="majorHAnsi"/>
                <w:sz w:val="22"/>
              </w:rPr>
              <w:tab/>
              <w:t>the mean is the averaged daily water consumption for the school across a period of days; the median is the middle value of the ordered daily water consumption; the mode is the most common daily water consumption level; relative frequency is the chance of landing on red when using a spinner with four equal sectors that are coloured differently.</w:t>
            </w: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64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91ADA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</w:tr>
      <w:tr w:rsidR="00791ADA" w:rsidRPr="00DF507B">
        <w:tc>
          <w:tcPr>
            <w:tcW w:w="5038" w:type="dxa"/>
            <w:tcBorders>
              <w:bottom w:val="single" w:sz="4" w:space="0" w:color="auto"/>
            </w:tcBorders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Variation and possible causes of bias can be identified in data collections</w:t>
            </w:r>
          </w:p>
          <w:p w:rsidR="00791ADA" w:rsidRPr="00431397" w:rsidRDefault="00791ADA" w:rsidP="003D5F7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the method of collection may exclude possible participants; the personal opinions of participants may obscure data collection.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91ADA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3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</w:tr>
    </w:tbl>
    <w:p w:rsidR="007209C2" w:rsidRDefault="007209C2"/>
    <w:tbl>
      <w:tblPr>
        <w:tblW w:w="14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8"/>
        <w:gridCol w:w="537"/>
        <w:gridCol w:w="537"/>
      </w:tblGrid>
      <w:tr w:rsidR="007209C2" w:rsidRPr="00DF507B">
        <w:tc>
          <w:tcPr>
            <w:tcW w:w="5038" w:type="dxa"/>
            <w:vMerge w:val="restart"/>
            <w:shd w:val="clear" w:color="auto" w:fill="F2F2F2" w:themeFill="background1" w:themeFillShade="F2"/>
          </w:tcPr>
          <w:p w:rsidR="007209C2" w:rsidRPr="00DF507B" w:rsidRDefault="007209C2" w:rsidP="007209C2">
            <w:pPr>
              <w:pStyle w:val="heading4TOP"/>
              <w:rPr>
                <w:rFonts w:ascii="Calibri" w:hAnsi="Calibri"/>
                <w:i w:val="0"/>
                <w:iCs/>
                <w:color w:val="auto"/>
                <w:sz w:val="48"/>
                <w:szCs w:val="28"/>
              </w:rPr>
            </w:pPr>
            <w:r w:rsidRPr="00DF507B">
              <w:rPr>
                <w:rFonts w:ascii="Calibri" w:hAnsi="Calibri"/>
                <w:i w:val="0"/>
                <w:iCs/>
                <w:color w:val="auto"/>
                <w:sz w:val="48"/>
                <w:szCs w:val="28"/>
              </w:rPr>
              <w:lastRenderedPageBreak/>
              <w:t>Space</w:t>
            </w:r>
          </w:p>
          <w:p w:rsidR="007209C2" w:rsidRPr="00DF507B" w:rsidRDefault="007209C2" w:rsidP="007209C2">
            <w:pPr>
              <w:pStyle w:val="heading4TOP"/>
              <w:rPr>
                <w:rFonts w:ascii="Calibri" w:hAnsi="Calibri"/>
                <w:i w:val="0"/>
                <w:iCs/>
                <w:color w:val="auto"/>
                <w:sz w:val="28"/>
                <w:szCs w:val="28"/>
              </w:rPr>
            </w:pPr>
          </w:p>
          <w:p w:rsidR="00791ADA" w:rsidRPr="004C34D6" w:rsidRDefault="00791ADA" w:rsidP="00791ADA">
            <w:pPr>
              <w:rPr>
                <w:i/>
                <w:lang w:val="en-GB"/>
              </w:rPr>
            </w:pPr>
            <w:r w:rsidRPr="004C34D6">
              <w:rPr>
                <w:i/>
                <w:lang w:val="en-GB"/>
              </w:rPr>
              <w:t>Geometric conventions can be used to classify, represent and manipulate geometric shapes. Mapping conventions can be applied in the construction and use of maps and plans.</w:t>
            </w:r>
          </w:p>
          <w:p w:rsidR="007209C2" w:rsidRPr="00DF507B" w:rsidRDefault="007209C2" w:rsidP="007209C2">
            <w:pPr>
              <w:suppressAutoHyphens/>
              <w:autoSpaceDE w:val="0"/>
              <w:autoSpaceDN w:val="0"/>
              <w:adjustRightInd w:val="0"/>
              <w:spacing w:before="60" w:line="250" w:lineRule="atLeast"/>
              <w:textAlignment w:val="center"/>
              <w:rPr>
                <w:rFonts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833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1 (2009-2010)</w:t>
            </w:r>
          </w:p>
        </w:tc>
        <w:tc>
          <w:tcPr>
            <w:tcW w:w="4835" w:type="dxa"/>
            <w:gridSpan w:val="9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8"/>
                <w:szCs w:val="22"/>
              </w:rPr>
              <w:t>Year 2 (2010-2011)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3222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  <w:tc>
          <w:tcPr>
            <w:tcW w:w="3223" w:type="dxa"/>
            <w:gridSpan w:val="6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1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b/>
                <w:sz w:val="22"/>
                <w:szCs w:val="22"/>
              </w:rPr>
              <w:t>Semester 2</w:t>
            </w:r>
          </w:p>
        </w:tc>
      </w:tr>
      <w:tr w:rsidR="007209C2" w:rsidRPr="00DF507B"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1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1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  <w:tc>
          <w:tcPr>
            <w:tcW w:w="1611" w:type="dxa"/>
            <w:gridSpan w:val="3"/>
            <w:shd w:val="pct3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1</w:t>
            </w:r>
          </w:p>
        </w:tc>
        <w:tc>
          <w:tcPr>
            <w:tcW w:w="1612" w:type="dxa"/>
            <w:gridSpan w:val="3"/>
            <w:shd w:val="pct2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2</w:t>
            </w:r>
          </w:p>
        </w:tc>
        <w:tc>
          <w:tcPr>
            <w:tcW w:w="1612" w:type="dxa"/>
            <w:gridSpan w:val="3"/>
            <w:shd w:val="pct10" w:color="auto" w:fill="auto"/>
          </w:tcPr>
          <w:p w:rsidR="007209C2" w:rsidRPr="00DF507B" w:rsidRDefault="007209C2" w:rsidP="007209C2">
            <w:pPr>
              <w:jc w:val="center"/>
              <w:rPr>
                <w:sz w:val="22"/>
                <w:szCs w:val="22"/>
              </w:rPr>
            </w:pPr>
            <w:r w:rsidRPr="00DF507B">
              <w:rPr>
                <w:sz w:val="22"/>
                <w:szCs w:val="22"/>
              </w:rPr>
              <w:t>Term 3</w:t>
            </w:r>
          </w:p>
        </w:tc>
      </w:tr>
      <w:tr w:rsidR="007209C2" w:rsidRPr="00DF507B">
        <w:trPr>
          <w:trHeight w:val="269"/>
        </w:trPr>
        <w:tc>
          <w:tcPr>
            <w:tcW w:w="5038" w:type="dxa"/>
            <w:vMerge/>
            <w:shd w:val="clear" w:color="auto" w:fill="F2F2F2" w:themeFill="background1" w:themeFillShade="F2"/>
          </w:tcPr>
          <w:p w:rsidR="007209C2" w:rsidRPr="00DF507B" w:rsidRDefault="007209C2" w:rsidP="007209C2">
            <w:pPr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537" w:type="dxa"/>
            <w:shd w:val="pct3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Space</w:t>
            </w:r>
          </w:p>
        </w:tc>
        <w:tc>
          <w:tcPr>
            <w:tcW w:w="538" w:type="dxa"/>
            <w:shd w:val="pct2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538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F507B">
              <w:rPr>
                <w:b/>
                <w:bCs/>
                <w:sz w:val="20"/>
                <w:szCs w:val="20"/>
              </w:rPr>
              <w:t>Chance &amp; Data</w:t>
            </w:r>
          </w:p>
        </w:tc>
        <w:tc>
          <w:tcPr>
            <w:tcW w:w="537" w:type="dxa"/>
            <w:shd w:val="pct10" w:color="auto" w:fill="auto"/>
            <w:textDirection w:val="btLr"/>
          </w:tcPr>
          <w:p w:rsidR="007209C2" w:rsidRPr="00DF507B" w:rsidRDefault="007209C2" w:rsidP="007209C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Space</w:t>
            </w: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Geometric conventions, including length, angle size and relationships between faces, are used to classify 2D shapes and 3D objects, including part and composite shapes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isosceles triangles have two equal sides and two equal base angles.</w:t>
            </w: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2D shapes can be sketched or accurately represented, using drawing instruments and software, to reflect their geometric properties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using a pair of compasses and a straight edge, or geometry software, to draw a plan for a kite.</w:t>
            </w:r>
          </w:p>
          <w:p w:rsidR="007209C2" w:rsidRPr="00431397" w:rsidRDefault="007209C2" w:rsidP="007209C2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3D objects can be constructed from plans, nets and isometric diagrams</w:t>
            </w:r>
          </w:p>
          <w:p w:rsidR="007209C2" w:rsidRPr="003D5F7A" w:rsidRDefault="00791ADA" w:rsidP="003D5F7A">
            <w:pPr>
              <w:pStyle w:val="bulle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constructing a model of the buildings in a street using multi-link cubes.</w:t>
            </w: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9E3F07" w:rsidRDefault="009E3F07">
            <w:pPr>
              <w:rPr>
                <w:sz w:val="22"/>
                <w:szCs w:val="22"/>
              </w:rPr>
            </w:pPr>
          </w:p>
          <w:p w:rsidR="009E3F07" w:rsidRDefault="009E3F07">
            <w:pPr>
              <w:rPr>
                <w:sz w:val="22"/>
                <w:szCs w:val="22"/>
              </w:rPr>
            </w:pPr>
          </w:p>
          <w:p w:rsidR="007209C2" w:rsidRPr="00DF507B" w:rsidRDefault="009E3F07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lastRenderedPageBreak/>
              <w:t>Congruent shapes are the same shape and size and can be superimposed on one another through a sequence of transformations, involving reflections, rotations and translations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constructing a mosaic pattern from a plan drawn to scale.</w:t>
            </w: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D0EC6" w:rsidRDefault="007D0EC6">
            <w:pPr>
              <w:rPr>
                <w:sz w:val="22"/>
                <w:szCs w:val="22"/>
              </w:rPr>
            </w:pPr>
          </w:p>
          <w:p w:rsidR="007D0EC6" w:rsidRDefault="007D0EC6">
            <w:pPr>
              <w:rPr>
                <w:sz w:val="22"/>
                <w:szCs w:val="22"/>
              </w:rPr>
            </w:pPr>
          </w:p>
          <w:p w:rsidR="007D0EC6" w:rsidRDefault="007D0EC6">
            <w:pPr>
              <w:rPr>
                <w:sz w:val="22"/>
                <w:szCs w:val="22"/>
              </w:rPr>
            </w:pPr>
          </w:p>
          <w:p w:rsidR="007209C2" w:rsidRPr="00DF507B" w:rsidRDefault="007D0EC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Points, lines and planes of symmetry can be identified in shapes and objects and can be related to transformations and tessellations of suitable shapes in the plane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the plane containing the Equator on a globe of the Earth; the application of symmetry in the construction of an origami design.</w:t>
            </w: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D0EC6" w:rsidRDefault="007D0EC6">
            <w:pPr>
              <w:rPr>
                <w:sz w:val="22"/>
                <w:szCs w:val="22"/>
              </w:rPr>
            </w:pPr>
          </w:p>
          <w:p w:rsidR="007D0EC6" w:rsidRDefault="007D0EC6">
            <w:pPr>
              <w:rPr>
                <w:sz w:val="22"/>
                <w:szCs w:val="22"/>
              </w:rPr>
            </w:pPr>
          </w:p>
          <w:p w:rsidR="007D0EC6" w:rsidRDefault="007D0EC6">
            <w:pPr>
              <w:rPr>
                <w:sz w:val="22"/>
                <w:szCs w:val="22"/>
              </w:rPr>
            </w:pPr>
          </w:p>
          <w:p w:rsidR="007209C2" w:rsidRPr="00DF507B" w:rsidRDefault="007D0EC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209C2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Maps and plans can be constructed and interpreted to identify a specific location, to plan movement from one location to another, and to calculate distance between locations</w:t>
            </w:r>
          </w:p>
          <w:p w:rsidR="00791ADA" w:rsidRPr="00431397" w:rsidRDefault="00791ADA" w:rsidP="00791AD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planning a holiday route to travel from one city to another.</w:t>
            </w:r>
          </w:p>
          <w:p w:rsidR="007209C2" w:rsidRPr="00431397" w:rsidRDefault="007209C2" w:rsidP="007209C2">
            <w:p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D0EC6" w:rsidRDefault="007D0EC6">
            <w:pPr>
              <w:rPr>
                <w:sz w:val="22"/>
                <w:szCs w:val="22"/>
              </w:rPr>
            </w:pPr>
          </w:p>
          <w:p w:rsidR="007D0EC6" w:rsidRDefault="007D0EC6">
            <w:pPr>
              <w:rPr>
                <w:sz w:val="22"/>
                <w:szCs w:val="22"/>
              </w:rPr>
            </w:pPr>
          </w:p>
          <w:p w:rsidR="007D0EC6" w:rsidRDefault="007D0EC6">
            <w:pPr>
              <w:rPr>
                <w:sz w:val="22"/>
                <w:szCs w:val="22"/>
              </w:rPr>
            </w:pPr>
          </w:p>
          <w:p w:rsidR="007209C2" w:rsidRPr="00DF507B" w:rsidRDefault="007D0EC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209C2" w:rsidRPr="00DF507B" w:rsidRDefault="007209C2">
            <w:pPr>
              <w:rPr>
                <w:sz w:val="22"/>
                <w:szCs w:val="22"/>
              </w:rPr>
            </w:pPr>
          </w:p>
        </w:tc>
      </w:tr>
      <w:tr w:rsidR="00791ADA" w:rsidRPr="00DF507B">
        <w:tc>
          <w:tcPr>
            <w:tcW w:w="5038" w:type="dxa"/>
            <w:shd w:val="clear" w:color="auto" w:fill="auto"/>
          </w:tcPr>
          <w:p w:rsidR="00791ADA" w:rsidRPr="00431397" w:rsidRDefault="00791ADA" w:rsidP="00791ADA">
            <w:pPr>
              <w:pStyle w:val="bullet"/>
              <w:rPr>
                <w:rFonts w:asciiTheme="majorHAnsi" w:hAnsiTheme="majorHAnsi"/>
                <w:sz w:val="22"/>
                <w:lang w:val="en-GB"/>
              </w:rPr>
            </w:pPr>
            <w:r w:rsidRPr="00431397">
              <w:rPr>
                <w:rFonts w:asciiTheme="majorHAnsi" w:hAnsiTheme="majorHAnsi"/>
                <w:sz w:val="22"/>
                <w:lang w:val="en-GB"/>
              </w:rPr>
              <w:t>Mapping conventions, including coordinates, compass points and scale, are used to specify and identify locations on maps and plans</w:t>
            </w:r>
          </w:p>
          <w:p w:rsidR="00791ADA" w:rsidRPr="00431397" w:rsidRDefault="00791ADA" w:rsidP="003D5F7A">
            <w:pPr>
              <w:pStyle w:val="exampletext"/>
              <w:rPr>
                <w:rFonts w:asciiTheme="majorHAnsi" w:hAnsiTheme="majorHAnsi"/>
                <w:sz w:val="22"/>
              </w:rPr>
            </w:pPr>
            <w:proofErr w:type="gramStart"/>
            <w:r w:rsidRPr="00431397">
              <w:rPr>
                <w:rFonts w:asciiTheme="majorHAnsi" w:hAnsiTheme="majorHAnsi"/>
                <w:sz w:val="22"/>
              </w:rPr>
              <w:t>e.g</w:t>
            </w:r>
            <w:proofErr w:type="gramEnd"/>
            <w:r w:rsidRPr="00431397">
              <w:rPr>
                <w:rFonts w:asciiTheme="majorHAnsi" w:hAnsiTheme="majorHAnsi"/>
                <w:sz w:val="22"/>
              </w:rPr>
              <w:t>.</w:t>
            </w:r>
            <w:r w:rsidRPr="00431397">
              <w:rPr>
                <w:rFonts w:asciiTheme="majorHAnsi" w:hAnsiTheme="majorHAnsi"/>
                <w:sz w:val="22"/>
              </w:rPr>
              <w:tab/>
              <w:t>applying coordinates, compass points and scale when orienteering.</w:t>
            </w: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D0EC6" w:rsidRDefault="007D0EC6">
            <w:pPr>
              <w:rPr>
                <w:sz w:val="28"/>
                <w:szCs w:val="28"/>
                <w:lang w:val="en-GB"/>
              </w:rPr>
            </w:pPr>
          </w:p>
          <w:p w:rsidR="007D0EC6" w:rsidRDefault="007D0EC6">
            <w:pPr>
              <w:rPr>
                <w:sz w:val="28"/>
                <w:szCs w:val="28"/>
                <w:lang w:val="en-GB"/>
              </w:rPr>
            </w:pPr>
          </w:p>
          <w:p w:rsidR="00791ADA" w:rsidRDefault="007D0EC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3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2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Pr="00DF507B" w:rsidRDefault="00791ADA">
            <w:pPr>
              <w:rPr>
                <w:sz w:val="22"/>
                <w:szCs w:val="22"/>
              </w:rPr>
            </w:pPr>
          </w:p>
        </w:tc>
        <w:tc>
          <w:tcPr>
            <w:tcW w:w="537" w:type="dxa"/>
            <w:shd w:val="pct10" w:color="auto" w:fill="auto"/>
          </w:tcPr>
          <w:p w:rsidR="00791ADA" w:rsidRDefault="00791ADA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7209C2" w:rsidRDefault="007209C2"/>
    <w:p w:rsidR="005B1694" w:rsidRDefault="005B1694"/>
    <w:sectPr w:rsidR="005B1694" w:rsidSect="00FE5EA5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C83"/>
    <w:multiLevelType w:val="hybridMultilevel"/>
    <w:tmpl w:val="06A433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431C8"/>
    <w:multiLevelType w:val="hybridMultilevel"/>
    <w:tmpl w:val="E95A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386A"/>
    <w:multiLevelType w:val="hybridMultilevel"/>
    <w:tmpl w:val="F45C376E"/>
    <w:lvl w:ilvl="0" w:tplc="C30E9FCC">
      <w:start w:val="1"/>
      <w:numFmt w:val="bullet"/>
      <w:lvlText w:val=""/>
      <w:lvlJc w:val="left"/>
      <w:pPr>
        <w:tabs>
          <w:tab w:val="num" w:pos="357"/>
        </w:tabs>
        <w:ind w:left="720" w:hanging="55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332A9"/>
    <w:multiLevelType w:val="multilevel"/>
    <w:tmpl w:val="F45C376E"/>
    <w:lvl w:ilvl="0">
      <w:start w:val="1"/>
      <w:numFmt w:val="bullet"/>
      <w:lvlText w:val=""/>
      <w:lvlJc w:val="left"/>
      <w:pPr>
        <w:tabs>
          <w:tab w:val="num" w:pos="727"/>
        </w:tabs>
        <w:ind w:left="1090" w:hanging="5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">
    <w:nsid w:val="282C5928"/>
    <w:multiLevelType w:val="hybridMultilevel"/>
    <w:tmpl w:val="33BC26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632C5"/>
    <w:multiLevelType w:val="hybridMultilevel"/>
    <w:tmpl w:val="E5626D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D5C93"/>
    <w:multiLevelType w:val="hybridMultilevel"/>
    <w:tmpl w:val="B97E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744F2"/>
    <w:multiLevelType w:val="hybridMultilevel"/>
    <w:tmpl w:val="6F4ACA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32242"/>
    <w:multiLevelType w:val="hybridMultilevel"/>
    <w:tmpl w:val="E12842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A74AE"/>
    <w:multiLevelType w:val="hybridMultilevel"/>
    <w:tmpl w:val="1A4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C6ACF"/>
    <w:multiLevelType w:val="hybridMultilevel"/>
    <w:tmpl w:val="A85079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95BF9"/>
    <w:multiLevelType w:val="multilevel"/>
    <w:tmpl w:val="3D5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2">
    <w:nsid w:val="55CB06A3"/>
    <w:multiLevelType w:val="multilevel"/>
    <w:tmpl w:val="F45C376E"/>
    <w:lvl w:ilvl="0">
      <w:start w:val="1"/>
      <w:numFmt w:val="bullet"/>
      <w:lvlText w:val=""/>
      <w:lvlJc w:val="left"/>
      <w:pPr>
        <w:tabs>
          <w:tab w:val="num" w:pos="727"/>
        </w:tabs>
        <w:ind w:left="1090" w:hanging="5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3">
    <w:nsid w:val="62495157"/>
    <w:multiLevelType w:val="hybridMultilevel"/>
    <w:tmpl w:val="861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E5EA5"/>
    <w:rsid w:val="000538B9"/>
    <w:rsid w:val="001A5D17"/>
    <w:rsid w:val="00275C3A"/>
    <w:rsid w:val="00303692"/>
    <w:rsid w:val="003D5F7A"/>
    <w:rsid w:val="00431397"/>
    <w:rsid w:val="00444C80"/>
    <w:rsid w:val="00493631"/>
    <w:rsid w:val="004C34D6"/>
    <w:rsid w:val="00580370"/>
    <w:rsid w:val="005B1694"/>
    <w:rsid w:val="005E0684"/>
    <w:rsid w:val="00646730"/>
    <w:rsid w:val="007209C2"/>
    <w:rsid w:val="00791ADA"/>
    <w:rsid w:val="007D0EC6"/>
    <w:rsid w:val="00805BB5"/>
    <w:rsid w:val="009E3F07"/>
    <w:rsid w:val="00B90ADA"/>
    <w:rsid w:val="00CD7D20"/>
    <w:rsid w:val="00CE77C4"/>
    <w:rsid w:val="00DE79E9"/>
    <w:rsid w:val="00E97063"/>
    <w:rsid w:val="00FE5E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A5"/>
    <w:rPr>
      <w:rFonts w:ascii="Calibri" w:eastAsia="Times New Roman" w:hAnsi="Calibri" w:cs="Tahoma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FE5EA5"/>
    <w:pPr>
      <w:autoSpaceDE w:val="0"/>
      <w:autoSpaceDN w:val="0"/>
      <w:adjustRightInd w:val="0"/>
      <w:spacing w:before="160"/>
      <w:ind w:left="227" w:hanging="227"/>
      <w:textAlignment w:val="center"/>
    </w:pPr>
    <w:rPr>
      <w:rFonts w:ascii="Arial" w:hAnsi="Arial" w:cs="Arial"/>
      <w:sz w:val="18"/>
      <w:szCs w:val="18"/>
    </w:rPr>
  </w:style>
  <w:style w:type="paragraph" w:customStyle="1" w:styleId="Heading41">
    <w:name w:val="Heading 41"/>
    <w:next w:val="Normal"/>
    <w:rsid w:val="00FE5EA5"/>
    <w:pPr>
      <w:spacing w:before="320"/>
    </w:pPr>
    <w:rPr>
      <w:rFonts w:ascii="Arial" w:eastAsia="Times New Roman" w:hAnsi="Arial" w:cs="Arial"/>
      <w:b/>
      <w:i/>
      <w:color w:val="000000"/>
      <w:spacing w:val="-3"/>
      <w:sz w:val="26"/>
      <w:szCs w:val="26"/>
      <w:lang w:eastAsia="en-AU"/>
    </w:rPr>
  </w:style>
  <w:style w:type="paragraph" w:customStyle="1" w:styleId="exampletext">
    <w:name w:val="example text"/>
    <w:basedOn w:val="Normal"/>
    <w:rsid w:val="00FE5EA5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ascii="Arial" w:hAnsi="Arial" w:cs="Zurich Cn BT"/>
      <w:i/>
      <w:iCs/>
      <w:sz w:val="18"/>
      <w:szCs w:val="20"/>
      <w:lang w:val="en-GB"/>
    </w:rPr>
  </w:style>
  <w:style w:type="paragraph" w:customStyle="1" w:styleId="heading4TOP">
    <w:name w:val="heading 4 TOP"/>
    <w:basedOn w:val="Heading41"/>
    <w:rsid w:val="00FE5EA5"/>
    <w:pPr>
      <w:pageBreakBefore/>
      <w:spacing w:before="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1602</Words>
  <Characters>9134</Characters>
  <Application>Microsoft Office Word</Application>
  <DocSecurity>0</DocSecurity>
  <Lines>76</Lines>
  <Paragraphs>21</Paragraphs>
  <ScaleCrop>false</ScaleCrop>
  <Company>olivia win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win</dc:creator>
  <cp:keywords/>
  <cp:lastModifiedBy>jason</cp:lastModifiedBy>
  <cp:revision>4</cp:revision>
  <dcterms:created xsi:type="dcterms:W3CDTF">2009-08-26T13:21:00Z</dcterms:created>
  <dcterms:modified xsi:type="dcterms:W3CDTF">2010-10-21T05:49:00Z</dcterms:modified>
</cp:coreProperties>
</file>